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469C2A">
      <w:pPr>
        <w:spacing w:line="360" w:lineRule="auto"/>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附件1</w:t>
      </w:r>
    </w:p>
    <w:p w14:paraId="5F269E96">
      <w:pPr>
        <w:spacing w:line="360" w:lineRule="auto"/>
        <w:ind w:firstLine="1446" w:firstLineChars="400"/>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
          <w:bCs/>
          <w:sz w:val="36"/>
          <w:szCs w:val="36"/>
          <w:lang w:val="en-US" w:eastAsia="zh-CN"/>
        </w:rPr>
        <w:t>拟处置的资产信息</w:t>
      </w:r>
      <w:r>
        <w:rPr>
          <w:rFonts w:hint="eastAsia" w:ascii="仿宋_GB2312" w:hAnsi="仿宋_GB2312" w:eastAsia="仿宋_GB2312" w:cs="仿宋_GB2312"/>
          <w:sz w:val="28"/>
          <w:szCs w:val="28"/>
          <w:lang w:val="en-US" w:eastAsia="zh-CN"/>
        </w:rPr>
        <w:t>（猎豹牌越野车 贵APS050）</w:t>
      </w:r>
    </w:p>
    <w:p w14:paraId="34AE4E3F">
      <w:pPr>
        <w:spacing w:line="360" w:lineRule="auto"/>
        <w:ind w:firstLine="960" w:firstLineChars="400"/>
        <w:jc w:val="left"/>
        <w:rPr>
          <w:rFonts w:hint="eastAsia" w:ascii="宋体" w:hAnsi="宋体" w:cs="宋体"/>
          <w:sz w:val="24"/>
          <w:szCs w:val="24"/>
          <w:lang w:val="en-US" w:eastAsia="zh-CN"/>
        </w:rPr>
      </w:pPr>
    </w:p>
    <w:p w14:paraId="1348FD3A">
      <w:pPr>
        <w:numPr>
          <w:ilvl w:val="0"/>
          <w:numId w:val="0"/>
        </w:numPr>
        <w:spacing w:line="360" w:lineRule="auto"/>
        <w:ind w:firstLine="643" w:firstLineChars="200"/>
        <w:jc w:val="left"/>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32"/>
          <w:szCs w:val="32"/>
          <w:lang w:val="en-US" w:eastAsia="zh-CN"/>
        </w:rPr>
        <w:t>一、资产基本信息</w:t>
      </w:r>
    </w:p>
    <w:p w14:paraId="2E1B6F5E">
      <w:pPr>
        <w:numPr>
          <w:ilvl w:val="0"/>
          <w:numId w:val="0"/>
        </w:numPr>
        <w:spacing w:line="360" w:lineRule="auto"/>
        <w:ind w:firstLine="7350" w:firstLineChars="3500"/>
        <w:jc w:val="left"/>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单位：元</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7"/>
        <w:gridCol w:w="1217"/>
        <w:gridCol w:w="1331"/>
        <w:gridCol w:w="1078"/>
        <w:gridCol w:w="1243"/>
        <w:gridCol w:w="1218"/>
        <w:gridCol w:w="1218"/>
      </w:tblGrid>
      <w:tr w14:paraId="54392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217" w:type="dxa"/>
            <w:noWrap w:val="0"/>
            <w:vAlign w:val="center"/>
          </w:tcPr>
          <w:p w14:paraId="05C9B56A">
            <w:pPr>
              <w:numPr>
                <w:ilvl w:val="0"/>
                <w:numId w:val="0"/>
              </w:numPr>
              <w:spacing w:line="360"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资产编号</w:t>
            </w:r>
          </w:p>
        </w:tc>
        <w:tc>
          <w:tcPr>
            <w:tcW w:w="1217" w:type="dxa"/>
            <w:noWrap w:val="0"/>
            <w:vAlign w:val="center"/>
          </w:tcPr>
          <w:p w14:paraId="628075D7">
            <w:pPr>
              <w:numPr>
                <w:ilvl w:val="0"/>
                <w:numId w:val="0"/>
              </w:numPr>
              <w:spacing w:line="360"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资产名称</w:t>
            </w:r>
          </w:p>
        </w:tc>
        <w:tc>
          <w:tcPr>
            <w:tcW w:w="1331" w:type="dxa"/>
            <w:noWrap w:val="0"/>
            <w:vAlign w:val="center"/>
          </w:tcPr>
          <w:p w14:paraId="63855E85">
            <w:pPr>
              <w:numPr>
                <w:ilvl w:val="0"/>
                <w:numId w:val="0"/>
              </w:numPr>
              <w:spacing w:line="360"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价值（原值）</w:t>
            </w:r>
          </w:p>
        </w:tc>
        <w:tc>
          <w:tcPr>
            <w:tcW w:w="1078" w:type="dxa"/>
            <w:noWrap w:val="0"/>
            <w:vAlign w:val="center"/>
          </w:tcPr>
          <w:p w14:paraId="2E0CFE7E">
            <w:pPr>
              <w:numPr>
                <w:ilvl w:val="0"/>
                <w:numId w:val="0"/>
              </w:numPr>
              <w:spacing w:line="360"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累计折旧</w:t>
            </w:r>
          </w:p>
        </w:tc>
        <w:tc>
          <w:tcPr>
            <w:tcW w:w="1243" w:type="dxa"/>
            <w:noWrap w:val="0"/>
            <w:vAlign w:val="center"/>
          </w:tcPr>
          <w:p w14:paraId="342A6485">
            <w:pPr>
              <w:numPr>
                <w:ilvl w:val="0"/>
                <w:numId w:val="0"/>
              </w:numPr>
              <w:spacing w:line="360"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折旧状态</w:t>
            </w:r>
          </w:p>
        </w:tc>
        <w:tc>
          <w:tcPr>
            <w:tcW w:w="1218" w:type="dxa"/>
            <w:noWrap w:val="0"/>
            <w:vAlign w:val="center"/>
          </w:tcPr>
          <w:p w14:paraId="321B19B8">
            <w:pPr>
              <w:numPr>
                <w:ilvl w:val="0"/>
                <w:numId w:val="0"/>
              </w:numPr>
              <w:spacing w:line="360"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资产净值</w:t>
            </w:r>
          </w:p>
        </w:tc>
        <w:tc>
          <w:tcPr>
            <w:tcW w:w="1218" w:type="dxa"/>
            <w:noWrap w:val="0"/>
            <w:vAlign w:val="center"/>
          </w:tcPr>
          <w:p w14:paraId="0DB1BC20">
            <w:pPr>
              <w:numPr>
                <w:ilvl w:val="0"/>
                <w:numId w:val="0"/>
              </w:numPr>
              <w:spacing w:line="360"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取得日期</w:t>
            </w:r>
          </w:p>
        </w:tc>
      </w:tr>
      <w:tr w14:paraId="00378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noWrap w:val="0"/>
            <w:vAlign w:val="top"/>
          </w:tcPr>
          <w:p w14:paraId="57780D5F">
            <w:pPr>
              <w:numPr>
                <w:ilvl w:val="0"/>
                <w:numId w:val="0"/>
              </w:numPr>
              <w:spacing w:line="360"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000000331</w:t>
            </w:r>
          </w:p>
        </w:tc>
        <w:tc>
          <w:tcPr>
            <w:tcW w:w="1217" w:type="dxa"/>
            <w:noWrap w:val="0"/>
            <w:vAlign w:val="top"/>
          </w:tcPr>
          <w:p w14:paraId="0C549D69">
            <w:pPr>
              <w:numPr>
                <w:ilvl w:val="0"/>
                <w:numId w:val="0"/>
              </w:numPr>
              <w:spacing w:line="240"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小型越野汽车</w:t>
            </w:r>
          </w:p>
        </w:tc>
        <w:tc>
          <w:tcPr>
            <w:tcW w:w="1331" w:type="dxa"/>
            <w:noWrap w:val="0"/>
            <w:vAlign w:val="top"/>
          </w:tcPr>
          <w:p w14:paraId="57F58C9B">
            <w:pPr>
              <w:numPr>
                <w:ilvl w:val="0"/>
                <w:numId w:val="0"/>
              </w:numPr>
              <w:spacing w:line="360"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180513</w:t>
            </w:r>
          </w:p>
        </w:tc>
        <w:tc>
          <w:tcPr>
            <w:tcW w:w="1078" w:type="dxa"/>
            <w:noWrap w:val="0"/>
            <w:vAlign w:val="top"/>
          </w:tcPr>
          <w:p w14:paraId="27F401E6">
            <w:pPr>
              <w:numPr>
                <w:ilvl w:val="0"/>
                <w:numId w:val="0"/>
              </w:numPr>
              <w:spacing w:line="360"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180513</w:t>
            </w:r>
          </w:p>
        </w:tc>
        <w:tc>
          <w:tcPr>
            <w:tcW w:w="1243" w:type="dxa"/>
            <w:noWrap w:val="0"/>
            <w:vAlign w:val="top"/>
          </w:tcPr>
          <w:p w14:paraId="1510087F">
            <w:pPr>
              <w:numPr>
                <w:ilvl w:val="0"/>
                <w:numId w:val="0"/>
              </w:numPr>
              <w:spacing w:line="360"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提折旧</w:t>
            </w:r>
          </w:p>
        </w:tc>
        <w:tc>
          <w:tcPr>
            <w:tcW w:w="1218" w:type="dxa"/>
            <w:noWrap w:val="0"/>
            <w:vAlign w:val="top"/>
          </w:tcPr>
          <w:p w14:paraId="2688F77E">
            <w:pPr>
              <w:numPr>
                <w:ilvl w:val="0"/>
                <w:numId w:val="0"/>
              </w:numPr>
              <w:spacing w:line="360"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180513</w:t>
            </w:r>
          </w:p>
        </w:tc>
        <w:tc>
          <w:tcPr>
            <w:tcW w:w="1218" w:type="dxa"/>
            <w:noWrap w:val="0"/>
            <w:vAlign w:val="top"/>
          </w:tcPr>
          <w:p w14:paraId="402C1309">
            <w:pPr>
              <w:numPr>
                <w:ilvl w:val="0"/>
                <w:numId w:val="0"/>
              </w:numPr>
              <w:spacing w:line="360"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2011-2-28</w:t>
            </w:r>
          </w:p>
        </w:tc>
      </w:tr>
    </w:tbl>
    <w:p w14:paraId="720E55C6">
      <w:pPr>
        <w:numPr>
          <w:ilvl w:val="0"/>
          <w:numId w:val="1"/>
        </w:numPr>
        <w:spacing w:line="360" w:lineRule="auto"/>
        <w:ind w:firstLine="643" w:firstLineChars="200"/>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资产现状</w:t>
      </w:r>
    </w:p>
    <w:p w14:paraId="4F2844D2">
      <w:pPr>
        <w:numPr>
          <w:ilvl w:val="0"/>
          <w:numId w:val="0"/>
        </w:numPr>
        <w:spacing w:line="360" w:lineRule="auto"/>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封存停驶</w:t>
      </w:r>
    </w:p>
    <w:p w14:paraId="7A041F65">
      <w:pPr>
        <w:numPr>
          <w:ilvl w:val="0"/>
          <w:numId w:val="1"/>
        </w:numPr>
        <w:spacing w:line="360" w:lineRule="auto"/>
        <w:ind w:left="0" w:leftChars="0" w:firstLine="643" w:firstLineChars="200"/>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处置依据</w:t>
      </w:r>
    </w:p>
    <w:p w14:paraId="2189FEA8">
      <w:pPr>
        <w:numPr>
          <w:ilvl w:val="0"/>
          <w:numId w:val="2"/>
        </w:numPr>
        <w:spacing w:line="360" w:lineRule="auto"/>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《关于做好省级事业单位和省直属国有企业公务用车制度改革封存停驶车辆处置相关工作的通知》（黔车改办通[2020]1号）；</w:t>
      </w:r>
    </w:p>
    <w:p w14:paraId="613854AD">
      <w:pPr>
        <w:numPr>
          <w:ilvl w:val="0"/>
          <w:numId w:val="2"/>
        </w:numPr>
        <w:spacing w:line="360" w:lineRule="auto"/>
        <w:ind w:left="0" w:leftChars="0"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《贵州省财政厅关于印发&lt;贵州省省级事业单位国有资产处置管理办法&gt;的通知》（黔财资[2016]21号）；</w:t>
      </w:r>
    </w:p>
    <w:p w14:paraId="6B2C73C9">
      <w:pPr>
        <w:spacing w:line="360" w:lineRule="auto"/>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3、车辆鉴定评估机构“贵州速易车鉴定评估有限公司”出具的《车辆鉴定评估报告》。</w:t>
      </w:r>
    </w:p>
    <w:p w14:paraId="347A1C1E">
      <w:pPr>
        <w:numPr>
          <w:ilvl w:val="0"/>
          <w:numId w:val="1"/>
        </w:numPr>
        <w:spacing w:line="360" w:lineRule="auto"/>
        <w:ind w:left="0" w:leftChars="0" w:firstLine="643" w:firstLineChars="200"/>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处置原因</w:t>
      </w:r>
    </w:p>
    <w:p w14:paraId="20378F94">
      <w:pPr>
        <w:numPr>
          <w:ilvl w:val="0"/>
          <w:numId w:val="0"/>
        </w:numPr>
        <w:spacing w:line="360" w:lineRule="auto"/>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sz w:val="32"/>
          <w:szCs w:val="32"/>
          <w:lang w:val="en-US" w:eastAsia="zh-CN"/>
        </w:rPr>
        <w:t>经鉴定评估，该车技术状况等级为四级，评估价值¥2000元，大写：两仟元整。</w:t>
      </w:r>
      <w:r>
        <w:rPr>
          <w:rFonts w:hint="eastAsia" w:ascii="仿宋_GB2312" w:hAnsi="仿宋_GB2312" w:eastAsia="仿宋_GB2312" w:cs="仿宋_GB2312"/>
          <w:b w:val="0"/>
          <w:bCs w:val="0"/>
          <w:sz w:val="32"/>
          <w:szCs w:val="32"/>
          <w:lang w:val="en-US" w:eastAsia="zh-CN"/>
        </w:rPr>
        <w:t>车辆维修费用远高于车辆价值的10%，无维修必要达到报废条件。</w:t>
      </w:r>
    </w:p>
    <w:p w14:paraId="5F6C6513">
      <w:pPr>
        <w:numPr>
          <w:ilvl w:val="0"/>
          <w:numId w:val="1"/>
        </w:numPr>
        <w:spacing w:line="360" w:lineRule="auto"/>
        <w:ind w:left="0" w:leftChars="0" w:firstLine="643" w:firstLineChars="200"/>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处置方式</w:t>
      </w:r>
    </w:p>
    <w:p w14:paraId="0F18387D">
      <w:pPr>
        <w:numPr>
          <w:ilvl w:val="0"/>
          <w:numId w:val="0"/>
        </w:numPr>
        <w:spacing w:line="360" w:lineRule="auto"/>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报废处置</w:t>
      </w:r>
    </w:p>
    <w:p w14:paraId="130353E1">
      <w:pPr>
        <w:numPr>
          <w:ilvl w:val="0"/>
          <w:numId w:val="1"/>
        </w:numPr>
        <w:spacing w:line="360" w:lineRule="auto"/>
        <w:ind w:left="0" w:leftChars="0" w:firstLine="643" w:firstLineChars="200"/>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拟处置价格</w:t>
      </w:r>
    </w:p>
    <w:p w14:paraId="231D9804">
      <w:pPr>
        <w:spacing w:line="360" w:lineRule="auto"/>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lang w:val="en-US" w:eastAsia="zh-CN"/>
        </w:rPr>
        <w:t>仅金属回收价值，预计2000元。</w:t>
      </w:r>
    </w:p>
    <w:p w14:paraId="4F7AEDB7">
      <w:pPr>
        <w:spacing w:line="360" w:lineRule="auto"/>
        <w:jc w:val="left"/>
        <w:rPr>
          <w:rFonts w:hint="eastAsia" w:ascii="仿宋_GB2312" w:hAnsi="仿宋_GB2312" w:eastAsia="仿宋_GB2312" w:cs="仿宋_GB2312"/>
          <w:sz w:val="32"/>
          <w:szCs w:val="32"/>
          <w:lang w:val="en-US" w:eastAsia="zh-CN"/>
        </w:rPr>
      </w:pPr>
    </w:p>
    <w:p w14:paraId="5D78B6FA">
      <w:pPr>
        <w:spacing w:line="360" w:lineRule="auto"/>
        <w:jc w:val="left"/>
        <w:rPr>
          <w:rFonts w:hint="eastAsia" w:ascii="仿宋_GB2312" w:hAnsi="仿宋_GB2312" w:eastAsia="仿宋_GB2312" w:cs="仿宋_GB2312"/>
          <w:sz w:val="32"/>
          <w:szCs w:val="32"/>
          <w:lang w:val="en-US" w:eastAsia="zh-CN"/>
        </w:rPr>
      </w:pPr>
    </w:p>
    <w:p w14:paraId="2618E4C7">
      <w:pPr>
        <w:spacing w:line="360" w:lineRule="auto"/>
        <w:jc w:val="left"/>
        <w:rPr>
          <w:rFonts w:hint="eastAsia" w:ascii="仿宋_GB2312" w:hAnsi="仿宋_GB2312" w:eastAsia="仿宋_GB2312" w:cs="仿宋_GB2312"/>
          <w:sz w:val="32"/>
          <w:szCs w:val="32"/>
          <w:lang w:val="en-US" w:eastAsia="zh-CN"/>
        </w:rPr>
      </w:pPr>
    </w:p>
    <w:p w14:paraId="1E58B420">
      <w:pPr>
        <w:spacing w:line="360" w:lineRule="auto"/>
        <w:jc w:val="left"/>
        <w:rPr>
          <w:rFonts w:hint="eastAsia" w:ascii="仿宋_GB2312" w:hAnsi="仿宋_GB2312" w:eastAsia="仿宋_GB2312" w:cs="仿宋_GB2312"/>
          <w:sz w:val="32"/>
          <w:szCs w:val="32"/>
          <w:lang w:val="en-US" w:eastAsia="zh-CN"/>
        </w:rPr>
      </w:pPr>
    </w:p>
    <w:p w14:paraId="408E6524">
      <w:pPr>
        <w:spacing w:line="360" w:lineRule="auto"/>
        <w:jc w:val="left"/>
        <w:rPr>
          <w:rFonts w:hint="eastAsia" w:ascii="仿宋_GB2312" w:hAnsi="仿宋_GB2312" w:eastAsia="仿宋_GB2312" w:cs="仿宋_GB2312"/>
          <w:sz w:val="32"/>
          <w:szCs w:val="32"/>
          <w:lang w:val="en-US" w:eastAsia="zh-CN"/>
        </w:rPr>
      </w:pPr>
    </w:p>
    <w:p w14:paraId="79BB7CE0">
      <w:pPr>
        <w:spacing w:line="360" w:lineRule="auto"/>
        <w:jc w:val="left"/>
        <w:rPr>
          <w:rFonts w:hint="eastAsia" w:ascii="仿宋_GB2312" w:hAnsi="仿宋_GB2312" w:eastAsia="仿宋_GB2312" w:cs="仿宋_GB2312"/>
          <w:sz w:val="32"/>
          <w:szCs w:val="32"/>
          <w:lang w:val="en-US" w:eastAsia="zh-CN"/>
        </w:rPr>
      </w:pPr>
    </w:p>
    <w:p w14:paraId="46BB7296">
      <w:pPr>
        <w:spacing w:line="360" w:lineRule="auto"/>
        <w:jc w:val="left"/>
        <w:rPr>
          <w:rFonts w:hint="eastAsia" w:ascii="仿宋_GB2312" w:hAnsi="仿宋_GB2312" w:eastAsia="仿宋_GB2312" w:cs="仿宋_GB2312"/>
          <w:sz w:val="32"/>
          <w:szCs w:val="32"/>
          <w:lang w:val="en-US" w:eastAsia="zh-CN"/>
        </w:rPr>
      </w:pPr>
    </w:p>
    <w:p w14:paraId="0D897822">
      <w:pPr>
        <w:spacing w:line="360" w:lineRule="auto"/>
        <w:jc w:val="left"/>
        <w:rPr>
          <w:rFonts w:hint="eastAsia" w:ascii="仿宋_GB2312" w:hAnsi="仿宋_GB2312" w:eastAsia="仿宋_GB2312" w:cs="仿宋_GB2312"/>
          <w:sz w:val="32"/>
          <w:szCs w:val="32"/>
          <w:lang w:val="en-US" w:eastAsia="zh-CN"/>
        </w:rPr>
      </w:pPr>
    </w:p>
    <w:p w14:paraId="63DDFCA6">
      <w:pPr>
        <w:spacing w:line="360" w:lineRule="auto"/>
        <w:jc w:val="left"/>
        <w:rPr>
          <w:rFonts w:hint="eastAsia" w:ascii="仿宋_GB2312" w:hAnsi="仿宋_GB2312" w:eastAsia="仿宋_GB2312" w:cs="仿宋_GB2312"/>
          <w:sz w:val="32"/>
          <w:szCs w:val="32"/>
          <w:lang w:val="en-US" w:eastAsia="zh-CN"/>
        </w:rPr>
      </w:pPr>
    </w:p>
    <w:p w14:paraId="09175289">
      <w:pPr>
        <w:spacing w:line="360" w:lineRule="auto"/>
        <w:jc w:val="left"/>
        <w:rPr>
          <w:rFonts w:hint="eastAsia" w:ascii="仿宋_GB2312" w:hAnsi="仿宋_GB2312" w:eastAsia="仿宋_GB2312" w:cs="仿宋_GB2312"/>
          <w:sz w:val="32"/>
          <w:szCs w:val="32"/>
          <w:lang w:val="en-US" w:eastAsia="zh-CN"/>
        </w:rPr>
      </w:pPr>
    </w:p>
    <w:p w14:paraId="1E22FBA7">
      <w:pPr>
        <w:spacing w:line="360" w:lineRule="auto"/>
        <w:jc w:val="left"/>
        <w:rPr>
          <w:rFonts w:hint="eastAsia" w:ascii="仿宋_GB2312" w:hAnsi="仿宋_GB2312" w:eastAsia="仿宋_GB2312" w:cs="仿宋_GB2312"/>
          <w:sz w:val="32"/>
          <w:szCs w:val="32"/>
          <w:lang w:val="en-US" w:eastAsia="zh-CN"/>
        </w:rPr>
      </w:pPr>
    </w:p>
    <w:p w14:paraId="3D617A4A">
      <w:pPr>
        <w:spacing w:line="360" w:lineRule="auto"/>
        <w:jc w:val="left"/>
        <w:rPr>
          <w:rFonts w:hint="eastAsia" w:ascii="仿宋_GB2312" w:hAnsi="仿宋_GB2312" w:eastAsia="仿宋_GB2312" w:cs="仿宋_GB2312"/>
          <w:sz w:val="32"/>
          <w:szCs w:val="32"/>
          <w:lang w:val="en-US" w:eastAsia="zh-CN"/>
        </w:rPr>
      </w:pPr>
    </w:p>
    <w:p w14:paraId="0E73EDCB">
      <w:pPr>
        <w:spacing w:line="360" w:lineRule="auto"/>
        <w:jc w:val="left"/>
        <w:rPr>
          <w:rFonts w:hint="eastAsia" w:ascii="仿宋_GB2312" w:hAnsi="仿宋_GB2312" w:eastAsia="仿宋_GB2312" w:cs="仿宋_GB2312"/>
          <w:sz w:val="32"/>
          <w:szCs w:val="32"/>
          <w:lang w:val="en-US" w:eastAsia="zh-CN"/>
        </w:rPr>
      </w:pPr>
    </w:p>
    <w:p w14:paraId="5DA58CAA">
      <w:pPr>
        <w:spacing w:line="360" w:lineRule="auto"/>
        <w:jc w:val="left"/>
        <w:rPr>
          <w:rFonts w:hint="eastAsia" w:ascii="仿宋_GB2312" w:hAnsi="仿宋_GB2312" w:eastAsia="仿宋_GB2312" w:cs="仿宋_GB2312"/>
          <w:sz w:val="32"/>
          <w:szCs w:val="32"/>
          <w:lang w:val="en-US" w:eastAsia="zh-CN"/>
        </w:rPr>
      </w:pPr>
    </w:p>
    <w:p w14:paraId="6E43FB6B">
      <w:pPr>
        <w:spacing w:line="360" w:lineRule="auto"/>
        <w:jc w:val="left"/>
        <w:rPr>
          <w:rFonts w:hint="eastAsia" w:ascii="仿宋_GB2312" w:hAnsi="仿宋_GB2312" w:eastAsia="仿宋_GB2312" w:cs="仿宋_GB2312"/>
          <w:sz w:val="32"/>
          <w:szCs w:val="32"/>
          <w:lang w:val="en-US" w:eastAsia="zh-CN"/>
        </w:rPr>
      </w:pPr>
    </w:p>
    <w:p w14:paraId="7D89DAD4">
      <w:pPr>
        <w:spacing w:line="360" w:lineRule="auto"/>
        <w:jc w:val="left"/>
        <w:rPr>
          <w:rFonts w:hint="eastAsia" w:ascii="仿宋_GB2312" w:hAnsi="仿宋_GB2312" w:eastAsia="仿宋_GB2312" w:cs="仿宋_GB2312"/>
          <w:sz w:val="32"/>
          <w:szCs w:val="32"/>
          <w:lang w:val="en-US" w:eastAsia="zh-CN"/>
        </w:rPr>
      </w:pPr>
    </w:p>
    <w:p w14:paraId="41A8F936">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068D2C"/>
    <w:multiLevelType w:val="singleLevel"/>
    <w:tmpl w:val="87068D2C"/>
    <w:lvl w:ilvl="0" w:tentative="0">
      <w:start w:val="1"/>
      <w:numFmt w:val="decimal"/>
      <w:suff w:val="nothing"/>
      <w:lvlText w:val="%1、"/>
      <w:lvlJc w:val="left"/>
    </w:lvl>
  </w:abstractNum>
  <w:abstractNum w:abstractNumId="1">
    <w:nsid w:val="1A3A1E40"/>
    <w:multiLevelType w:val="singleLevel"/>
    <w:tmpl w:val="1A3A1E40"/>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MxYTZmNjJhOTVhYTk0M2QyYjQ3MWYxNzg4NTI4MWUifQ=="/>
  </w:docVars>
  <w:rsids>
    <w:rsidRoot w:val="4CB82009"/>
    <w:rsid w:val="4CB820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2024-11-07T02:56:00Z</dcterms:created>
  <dc:creator>A</dc:creator>
  <cp:lastModifiedBy>A</cp:lastModifiedBy>
  <dcterms:modified xsi:type="dcterms:W3CDTF">2024-11-07T02:57:26Z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7A256C91D3E74D61B30FC74E976128FA_11</vt:lpwstr>
  </property>
</Properties>
</file>