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附件1：特定标本三维影像数据采集（复制）及设备技术要求参数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适用于扫描中型物体；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提供快速、准确、肌理丰富的完美3D模型；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设备轻便、快捷、多功能；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支持彩色成像；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5.满足多场合使用；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捕获体积范围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50000cm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vertAlign w:val="superscript"/>
          <w:lang w:val="en-US" w:eastAsia="zh-CN"/>
        </w:rPr>
        <w:t>3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精度要求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3D分辨率高于0.5mm，3D数据精度高于0.1mm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采集设备需具备纹理捕获能力；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实时融合时的3D重建速率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10fps；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支持Windows7,8或10-X64操作系统；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11.输出格式需含括：OBJ,PLY,WRL,STL等格式，满足信息化需求；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12.纹理分辨率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1mp；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13.数据捕获速度不低于一百万点/秒；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14.设备应满足手持要求，适用于多种工作环境；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藏品清单</w:t>
      </w:r>
    </w:p>
    <w:tbl>
      <w:tblPr>
        <w:tblStyle w:val="3"/>
        <w:tblW w:w="8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861"/>
        <w:gridCol w:w="2133"/>
        <w:gridCol w:w="1813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标本名称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规格（cm)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藏品复原类别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杨氏幻龙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龙长170cm 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板长190cm宽87cm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乌沙安顺龙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龙长220cm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板长158cm宽84cm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中原始喙龟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龟长194cm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板长185cm宽83cm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胡氏贵州龙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龙长27cm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板长32cm宽23.5cm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苹方 特粗">
    <w:altName w:val="宋体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43FDB"/>
    <w:rsid w:val="11A72C36"/>
    <w:rsid w:val="21955A61"/>
    <w:rsid w:val="30C710C0"/>
    <w:rsid w:val="37B43FDB"/>
    <w:rsid w:val="413A12CF"/>
    <w:rsid w:val="48A0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苹方 特粗" w:hAnsi="苹方 特粗" w:eastAsia="苹方 特粗" w:cs="苹方 特粗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416</Characters>
  <Lines>0</Lines>
  <Paragraphs>0</Paragraphs>
  <TotalTime>6</TotalTime>
  <ScaleCrop>false</ScaleCrop>
  <LinksUpToDate>false</LinksUpToDate>
  <CharactersWithSpaces>416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2022-04-26T08:09:00Z</dcterms:created>
  <dc:creator>USER</dc:creator>
  <cp:lastModifiedBy>USER</cp:lastModifiedBy>
  <dcterms:modified xsi:type="dcterms:W3CDTF">2022-04-26T09:00:16Z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9F8902D5C825469098C01A3D4527DCD3</vt:lpwstr>
  </property>
</Properties>
</file>